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A7" w:rsidRPr="00043E4D" w:rsidRDefault="0FC0AFE9" w:rsidP="007E0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E4D">
        <w:rPr>
          <w:rFonts w:ascii="Times New Roman" w:hAnsi="Times New Roman" w:cs="Times New Roman"/>
          <w:b/>
          <w:sz w:val="28"/>
          <w:szCs w:val="28"/>
        </w:rPr>
        <w:t xml:space="preserve">CFC </w:t>
      </w:r>
      <w:proofErr w:type="gramStart"/>
      <w:r w:rsidRPr="00043E4D">
        <w:rPr>
          <w:rFonts w:ascii="Times New Roman" w:hAnsi="Times New Roman" w:cs="Times New Roman"/>
          <w:b/>
          <w:sz w:val="28"/>
          <w:szCs w:val="28"/>
        </w:rPr>
        <w:t>Rules :</w:t>
      </w:r>
      <w:proofErr w:type="gramEnd"/>
      <w:r w:rsidRPr="00043E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E4D">
        <w:rPr>
          <w:rFonts w:ascii="Times New Roman" w:hAnsi="Times New Roman" w:cs="Times New Roman"/>
          <w:b/>
          <w:sz w:val="28"/>
          <w:szCs w:val="28"/>
        </w:rPr>
        <w:t>Revisi</w:t>
      </w:r>
      <w:proofErr w:type="spellEnd"/>
      <w:r w:rsidRPr="00043E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E4D">
        <w:rPr>
          <w:rFonts w:ascii="Times New Roman" w:hAnsi="Times New Roman" w:cs="Times New Roman"/>
          <w:b/>
          <w:sz w:val="28"/>
          <w:szCs w:val="28"/>
        </w:rPr>
        <w:t>Regulasi</w:t>
      </w:r>
      <w:proofErr w:type="spellEnd"/>
      <w:r w:rsidRPr="00043E4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43E4D">
        <w:rPr>
          <w:rFonts w:ascii="Times New Roman" w:hAnsi="Times New Roman" w:cs="Times New Roman"/>
          <w:b/>
          <w:sz w:val="28"/>
          <w:szCs w:val="28"/>
        </w:rPr>
        <w:t>Cegah</w:t>
      </w:r>
      <w:proofErr w:type="spellEnd"/>
      <w:r w:rsidRPr="00043E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3E4D">
        <w:rPr>
          <w:rFonts w:ascii="Times New Roman" w:hAnsi="Times New Roman" w:cs="Times New Roman"/>
          <w:b/>
          <w:sz w:val="28"/>
          <w:szCs w:val="28"/>
        </w:rPr>
        <w:t>Distorsi</w:t>
      </w:r>
      <w:proofErr w:type="spellEnd"/>
    </w:p>
    <w:p w:rsidR="00406A40" w:rsidRPr="00A17BB9" w:rsidRDefault="00A17BB9" w:rsidP="00A17BB9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Oleh : Alif Radix Tegar Sejati / </w:t>
      </w:r>
      <w:r w:rsidRPr="00A17BB9">
        <w:rPr>
          <w:rFonts w:ascii="Times New Roman" w:hAnsi="Times New Roman" w:cs="Times New Roman"/>
          <w:sz w:val="24"/>
          <w:szCs w:val="24"/>
        </w:rPr>
        <w:t>199605012018011005</w:t>
      </w:r>
    </w:p>
    <w:p w:rsidR="0FC0AFE9" w:rsidRPr="007E0607" w:rsidRDefault="2C91BC75" w:rsidP="007E060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Controlled Foreign Company</w:t>
      </w:r>
      <w:r w:rsidRPr="007E0607">
        <w:rPr>
          <w:rFonts w:ascii="Times New Roman" w:hAnsi="Times New Roman" w:cs="Times New Roman"/>
          <w:sz w:val="24"/>
          <w:szCs w:val="24"/>
        </w:rPr>
        <w:t xml:space="preserve"> (CFC)</w:t>
      </w:r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PMK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93/PMK.03/2019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107/PMK.03/2017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Diperolehnya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Penghitungannya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Penyertaan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Usaha Di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Usaha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Sahamnya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Di Bursa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. PMK 93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G20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r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encana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a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OECD BEPS </w:t>
      </w:r>
      <w:r w:rsidRPr="007E0607">
        <w:rPr>
          <w:rFonts w:ascii="Times New Roman" w:hAnsi="Times New Roman" w:cs="Times New Roman"/>
          <w:i/>
          <w:sz w:val="24"/>
          <w:szCs w:val="24"/>
        </w:rPr>
        <w:t>Action</w:t>
      </w:r>
      <w:r w:rsidRPr="007E060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Designing Effective Controlled Foreign Company 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7E0607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i/>
          <w:sz w:val="24"/>
          <w:szCs w:val="24"/>
        </w:rPr>
        <w:t>minimun</w:t>
      </w:r>
      <w:proofErr w:type="spellEnd"/>
      <w:r w:rsidRPr="007E0607">
        <w:rPr>
          <w:rFonts w:ascii="Times New Roman" w:hAnsi="Times New Roman" w:cs="Times New Roman"/>
          <w:i/>
          <w:sz w:val="24"/>
          <w:szCs w:val="24"/>
        </w:rPr>
        <w:t xml:space="preserve"> standard</w:t>
      </w:r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OECD.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7E0607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Specific Anti Avoidance 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(SAAR)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reformasi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1BBD9E34" w:rsidRPr="007E0607" w:rsidRDefault="43F15190" w:rsidP="007E060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0607">
        <w:rPr>
          <w:rFonts w:ascii="Times New Roman" w:hAnsi="Times New Roman" w:cs="Times New Roman"/>
          <w:b/>
          <w:sz w:val="24"/>
          <w:szCs w:val="24"/>
        </w:rPr>
        <w:t>Pokok</w:t>
      </w:r>
      <w:proofErr w:type="spellEnd"/>
      <w:r w:rsidRPr="007E06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b/>
          <w:sz w:val="24"/>
          <w:szCs w:val="24"/>
        </w:rPr>
        <w:t>Perubahan</w:t>
      </w:r>
      <w:proofErr w:type="spellEnd"/>
    </w:p>
    <w:p w:rsidR="0FC0AFE9" w:rsidRPr="007E0607" w:rsidRDefault="5B0A293E" w:rsidP="007E0607">
      <w:pPr>
        <w:jc w:val="both"/>
        <w:rPr>
          <w:rFonts w:ascii="Times New Roman" w:hAnsi="Times New Roman" w:cs="Times New Roman"/>
          <w:sz w:val="24"/>
          <w:szCs w:val="24"/>
        </w:rPr>
      </w:pPr>
      <w:r w:rsidRPr="007E0607">
        <w:rPr>
          <w:rFonts w:ascii="Times New Roman" w:hAnsi="Times New Roman" w:cs="Times New Roman"/>
          <w:sz w:val="24"/>
          <w:szCs w:val="24"/>
        </w:rPr>
        <w:t xml:space="preserve">OECD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laporannya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building blocks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7E0607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i/>
          <w:sz w:val="24"/>
          <w:szCs w:val="24"/>
        </w:rPr>
        <w:t>yaitu</w:t>
      </w:r>
      <w:proofErr w:type="spellEnd"/>
      <w:r w:rsidRPr="007E0607">
        <w:rPr>
          <w:rFonts w:ascii="Times New Roman" w:hAnsi="Times New Roman" w:cs="Times New Roman"/>
          <w:i/>
          <w:sz w:val="24"/>
          <w:szCs w:val="24"/>
        </w:rPr>
        <w:t xml:space="preserve"> definition of </w:t>
      </w:r>
      <w:r w:rsidRPr="007E0607">
        <w:rPr>
          <w:rFonts w:ascii="Times New Roman" w:hAnsi="Times New Roman" w:cs="Times New Roman"/>
          <w:sz w:val="24"/>
          <w:szCs w:val="24"/>
        </w:rPr>
        <w:t>CFC</w:t>
      </w:r>
      <w:r w:rsidRPr="007E06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E0607">
        <w:rPr>
          <w:rFonts w:ascii="Times New Roman" w:hAnsi="Times New Roman" w:cs="Times New Roman"/>
          <w:sz w:val="24"/>
          <w:szCs w:val="24"/>
        </w:rPr>
        <w:t>CFC</w:t>
      </w:r>
      <w:r w:rsidRPr="007E0607">
        <w:rPr>
          <w:rFonts w:ascii="Times New Roman" w:hAnsi="Times New Roman" w:cs="Times New Roman"/>
          <w:i/>
          <w:sz w:val="24"/>
          <w:szCs w:val="24"/>
        </w:rPr>
        <w:t xml:space="preserve"> exemptions and threshold requirements, definition of </w:t>
      </w:r>
      <w:r w:rsidRPr="007E0607">
        <w:rPr>
          <w:rFonts w:ascii="Times New Roman" w:hAnsi="Times New Roman" w:cs="Times New Roman"/>
          <w:sz w:val="24"/>
          <w:szCs w:val="24"/>
        </w:rPr>
        <w:t>CFC</w:t>
      </w:r>
      <w:r w:rsidRPr="007E0607">
        <w:rPr>
          <w:rFonts w:ascii="Times New Roman" w:hAnsi="Times New Roman" w:cs="Times New Roman"/>
          <w:i/>
          <w:sz w:val="24"/>
          <w:szCs w:val="24"/>
        </w:rPr>
        <w:t xml:space="preserve"> income, computation of income, attribution of income</w:t>
      </w:r>
      <w:r w:rsidRPr="007E0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prevention and elimination of double taxation.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7E0607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menitikberatkan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building block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 xml:space="preserve">definition of </w:t>
      </w:r>
      <w:r w:rsidRPr="007E0607">
        <w:rPr>
          <w:rFonts w:ascii="Times New Roman" w:hAnsi="Times New Roman" w:cs="Times New Roman"/>
          <w:sz w:val="24"/>
          <w:szCs w:val="24"/>
        </w:rPr>
        <w:t>CFC</w:t>
      </w:r>
      <w:r w:rsidRPr="007E0607">
        <w:rPr>
          <w:rFonts w:ascii="Times New Roman" w:hAnsi="Times New Roman" w:cs="Times New Roman"/>
          <w:i/>
          <w:sz w:val="24"/>
          <w:szCs w:val="24"/>
        </w:rPr>
        <w:t xml:space="preserve"> income.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PMK 93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full inclusion</w:t>
      </w:r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memperlakukan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foreign subsidiaries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7E0607">
        <w:rPr>
          <w:rFonts w:ascii="Times New Roman" w:hAnsi="Times New Roman" w:cs="Times New Roman"/>
          <w:i/>
          <w:sz w:val="24"/>
          <w:szCs w:val="24"/>
        </w:rPr>
        <w:t>income</w:t>
      </w:r>
      <w:r w:rsidRPr="007E06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7E0607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tertarget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i/>
          <w:sz w:val="24"/>
          <w:szCs w:val="24"/>
        </w:rPr>
        <w:t>isu</w:t>
      </w:r>
      <w:proofErr w:type="spellEnd"/>
      <w:r w:rsidRPr="007E0607">
        <w:rPr>
          <w:rFonts w:ascii="Times New Roman" w:hAnsi="Times New Roman" w:cs="Times New Roman"/>
          <w:i/>
          <w:sz w:val="24"/>
          <w:szCs w:val="24"/>
        </w:rPr>
        <w:t xml:space="preserve"> base erosion and profit shifting</w:t>
      </w:r>
      <w:r w:rsidRPr="007E0607">
        <w:rPr>
          <w:rFonts w:ascii="Times New Roman" w:hAnsi="Times New Roman" w:cs="Times New Roman"/>
          <w:sz w:val="24"/>
          <w:szCs w:val="24"/>
        </w:rPr>
        <w:t xml:space="preserve"> (BEPS).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1B05CB08" w:rsidRPr="007E0607" w:rsidRDefault="33987398" w:rsidP="007E060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PMK 93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2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mengkategorikan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CFC.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deemed dividend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mengatribusi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yurisdiksi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deemed dividend</w:t>
      </w:r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neto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BULN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Nonbursa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dividen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bunga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sewa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royalti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capital gain</w:t>
      </w:r>
      <w:r w:rsidRPr="007E06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substantial passive income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PMK 93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pendefinisian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pengecualian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BEPS.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1B05CB08" w:rsidRPr="007E0607" w:rsidRDefault="2C91BC75" w:rsidP="007E060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PMK 107/2017, Indonesia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entity approach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CFC,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activity threshold</w:t>
      </w:r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berubahnya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sistem </w:t>
      </w:r>
      <w:r w:rsidRPr="007E0607">
        <w:rPr>
          <w:rFonts w:ascii="Times New Roman" w:hAnsi="Times New Roman" w:cs="Times New Roman"/>
          <w:i/>
          <w:sz w:val="24"/>
          <w:szCs w:val="24"/>
        </w:rPr>
        <w:t>full inclusion</w:t>
      </w:r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entity approach</w:t>
      </w:r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transactional approach</w:t>
      </w:r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Pr="007E0607">
        <w:rPr>
          <w:rFonts w:ascii="Times New Roman" w:hAnsi="Times New Roman" w:cs="Times New Roman"/>
          <w:i/>
          <w:sz w:val="24"/>
          <w:szCs w:val="24"/>
        </w:rPr>
        <w:t>worldwide</w:t>
      </w:r>
      <w:r w:rsidR="007E0607" w:rsidRPr="007E060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 xml:space="preserve"> income</w:t>
      </w:r>
      <w:proofErr w:type="gramEnd"/>
      <w:r w:rsidRPr="007E06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sistem </w:t>
      </w:r>
      <w:r w:rsidRPr="007E0607">
        <w:rPr>
          <w:rFonts w:ascii="Times New Roman" w:hAnsi="Times New Roman" w:cs="Times New Roman"/>
          <w:i/>
          <w:sz w:val="24"/>
          <w:szCs w:val="24"/>
        </w:rPr>
        <w:t>full inclusion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7E0607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lastRenderedPageBreak/>
        <w:t>mewaspadai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 xml:space="preserve">tax </w:t>
      </w:r>
      <w:proofErr w:type="spellStart"/>
      <w:r w:rsidRPr="007E0607">
        <w:rPr>
          <w:rFonts w:ascii="Times New Roman" w:hAnsi="Times New Roman" w:cs="Times New Roman"/>
          <w:i/>
          <w:sz w:val="24"/>
          <w:szCs w:val="24"/>
        </w:rPr>
        <w:t>deferra</w:t>
      </w:r>
      <w:proofErr w:type="spellEnd"/>
      <w:r w:rsidR="007E0607">
        <w:rPr>
          <w:rFonts w:ascii="Times New Roman" w:hAnsi="Times New Roman" w:cs="Times New Roman"/>
          <w:i/>
          <w:sz w:val="24"/>
          <w:szCs w:val="24"/>
          <w:lang w:val="id-ID"/>
        </w:rPr>
        <w:t>l</w:t>
      </w:r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transactional approach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beriringan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kapabilitas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menulusuri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7E0607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7E0607">
        <w:rPr>
          <w:rFonts w:ascii="Times New Roman" w:hAnsi="Times New Roman" w:cs="Times New Roman"/>
          <w:i/>
          <w:sz w:val="24"/>
          <w:szCs w:val="24"/>
        </w:rPr>
        <w:t>benchmark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negara-negara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OECD.</w:t>
      </w:r>
      <w:bookmarkStart w:id="0" w:name="_GoBack"/>
      <w:bookmarkEnd w:id="0"/>
    </w:p>
    <w:p w:rsidR="0FC0AFE9" w:rsidRPr="007E0607" w:rsidRDefault="2C91BC75" w:rsidP="008778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8778C4">
        <w:rPr>
          <w:rFonts w:ascii="Times New Roman" w:hAnsi="Times New Roman" w:cs="Times New Roman"/>
          <w:i/>
          <w:sz w:val="24"/>
          <w:szCs w:val="24"/>
        </w:rPr>
        <w:t>transactional approach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8778C4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8778C4">
        <w:rPr>
          <w:rFonts w:ascii="Times New Roman" w:hAnsi="Times New Roman" w:cs="Times New Roman"/>
          <w:i/>
          <w:sz w:val="24"/>
          <w:szCs w:val="24"/>
        </w:rPr>
        <w:t>transactional approach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PMK 93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dikombinasikan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8778C4">
        <w:rPr>
          <w:rFonts w:ascii="Times New Roman" w:hAnsi="Times New Roman" w:cs="Times New Roman"/>
          <w:i/>
          <w:sz w:val="24"/>
          <w:szCs w:val="24"/>
        </w:rPr>
        <w:t>categorical approach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akurasi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mengatribusi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yurisdiksi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778C4">
        <w:rPr>
          <w:rFonts w:ascii="Times New Roman" w:hAnsi="Times New Roman" w:cs="Times New Roman"/>
          <w:i/>
          <w:sz w:val="24"/>
          <w:szCs w:val="24"/>
        </w:rPr>
        <w:t>entity approach</w:t>
      </w:r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pembedaan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778C4">
        <w:rPr>
          <w:rFonts w:ascii="Times New Roman" w:hAnsi="Times New Roman" w:cs="Times New Roman"/>
          <w:i/>
          <w:sz w:val="24"/>
          <w:szCs w:val="24"/>
        </w:rPr>
        <w:t xml:space="preserve">passive income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8778C4">
        <w:rPr>
          <w:rFonts w:ascii="Times New Roman" w:hAnsi="Times New Roman" w:cs="Times New Roman"/>
          <w:i/>
          <w:sz w:val="24"/>
          <w:szCs w:val="24"/>
        </w:rPr>
        <w:t xml:space="preserve">active income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8778C4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="007E060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8778C4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berekspansi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1BBD9E34" w:rsidRPr="008778C4" w:rsidRDefault="1BBD9E34" w:rsidP="007E060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78C4">
        <w:rPr>
          <w:rFonts w:ascii="Times New Roman" w:hAnsi="Times New Roman" w:cs="Times New Roman"/>
          <w:b/>
          <w:sz w:val="24"/>
          <w:szCs w:val="24"/>
        </w:rPr>
        <w:t>Kebijakan</w:t>
      </w:r>
      <w:proofErr w:type="spellEnd"/>
      <w:r w:rsidR="008778C4" w:rsidRPr="008778C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8778C4">
        <w:rPr>
          <w:rFonts w:ascii="Times New Roman" w:hAnsi="Times New Roman" w:cs="Times New Roman"/>
          <w:b/>
          <w:sz w:val="24"/>
          <w:szCs w:val="24"/>
        </w:rPr>
        <w:t>Anti</w:t>
      </w:r>
      <w:r w:rsidR="008778C4">
        <w:rPr>
          <w:rFonts w:ascii="Times New Roman" w:hAnsi="Times New Roman" w:cs="Times New Roman"/>
          <w:b/>
          <w:sz w:val="24"/>
          <w:szCs w:val="24"/>
          <w:lang w:val="id-ID"/>
        </w:rPr>
        <w:t>-</w:t>
      </w:r>
      <w:r w:rsidRPr="008778C4">
        <w:rPr>
          <w:rFonts w:ascii="Times New Roman" w:hAnsi="Times New Roman" w:cs="Times New Roman"/>
          <w:b/>
          <w:sz w:val="24"/>
          <w:szCs w:val="24"/>
        </w:rPr>
        <w:t>Tax Avoidance</w:t>
      </w:r>
    </w:p>
    <w:p w:rsidR="43F15190" w:rsidRPr="007E0607" w:rsidRDefault="2C91BC75" w:rsidP="005E4D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8778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biasnya</w:t>
      </w:r>
      <w:proofErr w:type="spellEnd"/>
      <w:r w:rsidR="008778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batas-batas</w:t>
      </w:r>
      <w:proofErr w:type="spellEnd"/>
      <w:r w:rsidR="008778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8778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8778C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kecakupan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0607">
        <w:rPr>
          <w:rFonts w:ascii="Times New Roman" w:hAnsi="Times New Roman" w:cs="Times New Roman"/>
          <w:sz w:val="24"/>
          <w:szCs w:val="24"/>
        </w:rPr>
        <w:t xml:space="preserve">ASEAN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berinvestasi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Harmonisasi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0607">
        <w:rPr>
          <w:rFonts w:ascii="Times New Roman" w:hAnsi="Times New Roman" w:cs="Times New Roman"/>
          <w:sz w:val="24"/>
          <w:szCs w:val="24"/>
        </w:rPr>
        <w:t xml:space="preserve">ASEAN 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proofErr w:type="gram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E4DA7">
        <w:rPr>
          <w:rFonts w:ascii="Times New Roman" w:hAnsi="Times New Roman" w:cs="Times New Roman"/>
          <w:i/>
          <w:sz w:val="24"/>
          <w:szCs w:val="24"/>
        </w:rPr>
        <w:t>Multilateral instrument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anti-tax avoidance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ASEAN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harmful tax competition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diminimalisasi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multilateral</w:t>
      </w:r>
      <w:r w:rsidRPr="007E0607">
        <w:rPr>
          <w:rFonts w:ascii="Times New Roman" w:hAnsi="Times New Roman" w:cs="Times New Roman"/>
          <w:sz w:val="24"/>
          <w:szCs w:val="24"/>
        </w:rPr>
        <w:t xml:space="preserve"> ASEAN,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5E4DA7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pemajakan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double taxation</w:t>
      </w:r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43F15190" w:rsidRPr="007E0607" w:rsidRDefault="2C91BC75" w:rsidP="005E4D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regional,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multinational enterprises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(MNEs)</w:t>
      </w:r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benar-benar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dialokasikan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permanent establishment</w:t>
      </w:r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transfer pricing</w:t>
      </w:r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 xml:space="preserve">outward </w:t>
      </w:r>
      <w:proofErr w:type="gramStart"/>
      <w:r w:rsidRPr="005E4DA7">
        <w:rPr>
          <w:rFonts w:ascii="Times New Roman" w:hAnsi="Times New Roman" w:cs="Times New Roman"/>
          <w:i/>
          <w:sz w:val="24"/>
          <w:szCs w:val="24"/>
        </w:rPr>
        <w:t>investment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dipastikan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substansi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basis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pemajakan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</w:t>
      </w:r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hybrid mismatch</w:t>
      </w:r>
      <w:proofErr w:type="gramEnd"/>
      <w:r w:rsidR="005E4D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5E4DA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5E4DA7">
        <w:rPr>
          <w:rFonts w:ascii="Times New Roman" w:hAnsi="Times New Roman" w:cs="Times New Roman"/>
          <w:sz w:val="24"/>
          <w:szCs w:val="24"/>
        </w:rPr>
        <w:t xml:space="preserve"> </w:t>
      </w:r>
      <w:r w:rsidR="005E4DA7">
        <w:rPr>
          <w:rFonts w:ascii="Times New Roman" w:hAnsi="Times New Roman" w:cs="Times New Roman"/>
          <w:sz w:val="24"/>
          <w:szCs w:val="24"/>
          <w:lang w:val="id-ID"/>
        </w:rPr>
        <w:t>r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egulasi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keniscayaan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ditengah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p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esatnya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makin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terintegrasinya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ASEAN.</w:t>
      </w:r>
      <w:proofErr w:type="gramEnd"/>
    </w:p>
    <w:p w:rsidR="525051A6" w:rsidRPr="007E0607" w:rsidRDefault="2C91BC75" w:rsidP="005E4DA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selayaknya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relevansinya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kesederhanaan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5E4DA7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tertarget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berbanding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lurus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CFC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BEPS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tax deferral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E060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7E0607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OECD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terakit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building blocks</w:t>
      </w:r>
      <w:r w:rsidRPr="007E0607">
        <w:rPr>
          <w:rFonts w:ascii="Times New Roman" w:hAnsi="Times New Roman" w:cs="Times New Roman"/>
          <w:sz w:val="24"/>
          <w:szCs w:val="24"/>
        </w:rPr>
        <w:t xml:space="preserve"> CFC </w:t>
      </w:r>
      <w:r w:rsidRPr="005E4DA7">
        <w:rPr>
          <w:rFonts w:ascii="Times New Roman" w:hAnsi="Times New Roman" w:cs="Times New Roman"/>
          <w:i/>
          <w:sz w:val="24"/>
          <w:szCs w:val="24"/>
        </w:rPr>
        <w:t>Rules</w:t>
      </w:r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diserap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E4DA7">
        <w:rPr>
          <w:rFonts w:ascii="Times New Roman" w:hAnsi="Times New Roman" w:cs="Times New Roman"/>
          <w:i/>
          <w:sz w:val="24"/>
          <w:szCs w:val="24"/>
        </w:rPr>
        <w:t>anti-tax avoidance</w:t>
      </w:r>
      <w:r w:rsidRPr="007E060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menyehatkan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5E4DA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E0607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E06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525051A6" w:rsidRPr="007E0607" w:rsidSect="004B5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F2B69"/>
    <w:multiLevelType w:val="hybridMultilevel"/>
    <w:tmpl w:val="127CA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42A7"/>
    <w:rsid w:val="00043E4D"/>
    <w:rsid w:val="00074255"/>
    <w:rsid w:val="00111255"/>
    <w:rsid w:val="003C42A7"/>
    <w:rsid w:val="00406A40"/>
    <w:rsid w:val="004B5EF6"/>
    <w:rsid w:val="004C6F66"/>
    <w:rsid w:val="005E4DA7"/>
    <w:rsid w:val="007E0607"/>
    <w:rsid w:val="008778C4"/>
    <w:rsid w:val="008C3F12"/>
    <w:rsid w:val="00A17BB9"/>
    <w:rsid w:val="00CF3C42"/>
    <w:rsid w:val="00DA3227"/>
    <w:rsid w:val="0FC0AFE9"/>
    <w:rsid w:val="1B05CB08"/>
    <w:rsid w:val="1BBD9E34"/>
    <w:rsid w:val="2C91BC75"/>
    <w:rsid w:val="31A474BA"/>
    <w:rsid w:val="33987398"/>
    <w:rsid w:val="37A4AC02"/>
    <w:rsid w:val="43F15190"/>
    <w:rsid w:val="4D494ED0"/>
    <w:rsid w:val="525051A6"/>
    <w:rsid w:val="5A1EE84C"/>
    <w:rsid w:val="5B0A293E"/>
    <w:rsid w:val="5EA55A5E"/>
    <w:rsid w:val="61901B10"/>
    <w:rsid w:val="66FEBFC3"/>
    <w:rsid w:val="787E1408"/>
    <w:rsid w:val="78B25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 radix</dc:creator>
  <cp:keywords/>
  <dc:description/>
  <cp:lastModifiedBy>Waskon-IV</cp:lastModifiedBy>
  <cp:revision>24</cp:revision>
  <dcterms:created xsi:type="dcterms:W3CDTF">2019-07-07T15:11:00Z</dcterms:created>
  <dcterms:modified xsi:type="dcterms:W3CDTF">2019-07-22T02:12:00Z</dcterms:modified>
</cp:coreProperties>
</file>